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</w:t>
      </w:r>
      <w:r>
        <w:rPr/>
        <w:drawing>
          <wp:inline distT="0" distB="0" distL="0" distR="0">
            <wp:extent cx="438150" cy="6477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Normal"/>
        <w:overflowPunct w:val="false"/>
        <w:jc w:val="center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overflowPunct w:val="false"/>
        <w:jc w:val="center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overflowPunct w:val="false"/>
        <w:jc w:val="center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overflowPunct w:val="false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</w:r>
    </w:p>
    <w:p>
      <w:pPr>
        <w:pStyle w:val="Normal"/>
        <w:overflowPunct w:val="false"/>
        <w:jc w:val="center"/>
        <w:textAlignment w:val="baseline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color w:val="000000"/>
          <w:sz w:val="32"/>
          <w:szCs w:val="32"/>
        </w:rPr>
        <w:t>П О С Т А Н О В Л Е Н И Е</w:t>
      </w:r>
    </w:p>
    <w:tbl>
      <w:tblPr>
        <w:tblW w:w="9975" w:type="dxa"/>
        <w:jc w:val="start"/>
        <w:tblInd w:w="-66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9975"/>
      </w:tblGrid>
      <w:tr>
        <w:trPr>
          <w:trHeight w:val="288" w:hRule="atLeast"/>
        </w:trPr>
        <w:tc>
          <w:tcPr>
            <w:tcW w:w="9975" w:type="dxa"/>
            <w:tcBorders>
              <w:top w:val="double" w:sz="4" w:space="0" w:color="000000"/>
            </w:tcBorders>
          </w:tcPr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 29.10.2025                                             п.г.т. Тугулым                                                         № 720</w:t>
            </w:r>
          </w:p>
        </w:tc>
      </w:tr>
    </w:tbl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/>
        <w:tabs>
          <w:tab w:val="clear" w:pos="708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bidi w:val="0"/>
        <w:spacing w:before="0" w:after="0"/>
        <w:ind w:hanging="0" w:start="-170" w:end="-17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Об утверждении Положения об оплате труда и материальном стимулировании работников Муниципального казённого учреждения «Административно-хозяйственное управление Тугулымского муниципального округа Свердловской области»</w:t>
      </w:r>
    </w:p>
    <w:p>
      <w:pPr>
        <w:pStyle w:val="Normal"/>
        <w:tabs>
          <w:tab w:val="clear" w:pos="708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star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ind w:firstLine="708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В соответствии с Трудовым кодексом Российской Федерации, Едиными рекомендациями по установлению на федеральном, региональном и местном уровнях систем оплаты труда работников государственных и муниципальных учреждений на 2025 год, утвержденными решением </w:t>
      </w:r>
      <w:r>
        <w:rPr>
          <w:rFonts w:eastAsia="Calibri" w:cs="Times New Roman" w:ascii="Times New Roman" w:hAnsi="Times New Roman"/>
          <w:sz w:val="24"/>
          <w:szCs w:val="24"/>
        </w:rPr>
        <w:t xml:space="preserve">Российской трехсторонней комиссии по регулированию социально-трудовых отношений от </w:t>
      </w:r>
      <w:bookmarkStart w:id="1" w:name="_Hlk195701763"/>
      <w:r>
        <w:rPr>
          <w:rFonts w:eastAsia="Calibri" w:cs="Times New Roman" w:ascii="Times New Roman" w:hAnsi="Times New Roman"/>
          <w:sz w:val="24"/>
          <w:szCs w:val="24"/>
        </w:rPr>
        <w:t xml:space="preserve">23 декабря 2024 года протокол № 10пр, </w:t>
      </w:r>
      <w:bookmarkEnd w:id="1"/>
      <w:r>
        <w:rPr>
          <w:rFonts w:eastAsia="Calibri" w:cs="Times New Roman" w:ascii="Times New Roman" w:hAnsi="Times New Roman"/>
          <w:sz w:val="24"/>
          <w:szCs w:val="24"/>
        </w:rPr>
        <w:t xml:space="preserve">постановлением Правительства Свердловской области от 06 февраля 2009 года № 145-ПП «О системах оплаты труда работников государственных бюджетных, автономных и казенных учреждений Свердловской области»       (с изменениями от 02.07.2020), </w:t>
      </w:r>
      <w:bookmarkStart w:id="2" w:name="_Hlk195701875"/>
      <w:r>
        <w:rPr>
          <w:rFonts w:eastAsia="Calibri" w:cs="Times New Roman" w:ascii="Times New Roman" w:hAnsi="Times New Roman"/>
          <w:sz w:val="24"/>
          <w:szCs w:val="24"/>
        </w:rPr>
        <w:t>Постановлением  администрации Тугулымского городского округа от 16.11.2012 № 322 «О создании муниципального казенного учреждения «Административно-хозяйственное управление Тугулымского городского округа», администрация Тугулымского муниципального округа</w:t>
      </w:r>
      <w:bookmarkEnd w:id="2"/>
    </w:p>
    <w:p>
      <w:pPr>
        <w:pStyle w:val="Normal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eastAsia="Calibri" w:cs="Times New Roman" w:ascii="Times New Roman" w:hAnsi="Times New Roman"/>
          <w:b/>
          <w:bCs/>
          <w:sz w:val="24"/>
          <w:szCs w:val="24"/>
        </w:rPr>
        <w:t>ПОСТАНОВЛЯЕТ:</w:t>
      </w:r>
    </w:p>
    <w:p>
      <w:pPr>
        <w:pStyle w:val="Normal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eastAsia="Calibri"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ab/>
        <w:t>1. Утвердить Положение об оплате труда и материальном стимулировании работников Муниципального казенного учреждения «Административно-хозяйственное управление Тугулымского муниципального округа Свердловской области» (прилагается).</w:t>
      </w:r>
    </w:p>
    <w:p>
      <w:pPr>
        <w:pStyle w:val="Normal"/>
        <w:rPr>
          <w:rFonts w:ascii="Times New Roman" w:hAnsi="Times New Roman" w:eastAsia="Calibri" w:cs="Times New Roman"/>
          <w:sz w:val="24"/>
          <w:szCs w:val="24"/>
        </w:rPr>
      </w:pPr>
      <w:bookmarkStart w:id="3" w:name="_Hlk210394183"/>
      <w:bookmarkEnd w:id="3"/>
      <w:r>
        <w:rPr>
          <w:rFonts w:eastAsia="Calibri" w:cs="Times New Roman" w:ascii="Times New Roman" w:hAnsi="Times New Roman"/>
          <w:sz w:val="24"/>
          <w:szCs w:val="24"/>
        </w:rPr>
        <w:tab/>
        <w:t>2.  Постановление администрации Тугулымского городского округа от 22.05.2020 № 148 «Об утверждении Положения об оплате труда и материальном стимулировании работников муниципального казенного учреждения «Административно-хозяйственное управление Тугулымского городского округа» (с изменениями от 2020, 2021, 2022, 2023, 2024, 2025) признать утратившим силу.</w:t>
      </w:r>
    </w:p>
    <w:p>
      <w:pPr>
        <w:pStyle w:val="Normal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ab/>
        <w:t>3.   Настоящее постановление вступает в силу после его подписания.</w:t>
      </w:r>
    </w:p>
    <w:p>
      <w:pPr>
        <w:pStyle w:val="Normal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ab/>
        <w:t>4.  Контроль исполнения настоящего постановления возложить на заместителя главы администрации Тугулымского муниципального округа Кизерова К.В.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Liberation Mono" w:hAnsi="Liberation Mono" w:eastAsia="Times New Roman" w:cs="Liberation Mono"/>
          <w:sz w:val="20"/>
          <w:szCs w:val="20"/>
          <w:lang w:eastAsia="ru-RU"/>
        </w:rPr>
      </w:pPr>
      <w:r>
        <w:rPr>
          <w:rFonts w:eastAsia="Times New Roman" w:cs="Liberation Mono" w:ascii="Liberation Mono" w:hAnsi="Liberation Mono"/>
          <w:sz w:val="20"/>
          <w:szCs w:val="20"/>
          <w:lang w:eastAsia="ru-RU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Liberation Mono" w:hAnsi="Liberation Mono" w:eastAsia="Times New Roman" w:cs="Liberation Mono"/>
          <w:sz w:val="20"/>
          <w:szCs w:val="20"/>
          <w:lang w:eastAsia="ru-RU"/>
        </w:rPr>
      </w:pPr>
      <w:r>
        <w:rPr>
          <w:rFonts w:eastAsia="Times New Roman" w:cs="Liberation Mono" w:ascii="Liberation Mono" w:hAnsi="Liberation Mono"/>
          <w:sz w:val="20"/>
          <w:szCs w:val="20"/>
          <w:lang w:eastAsia="ru-RU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Liberation Mono" w:hAnsi="Liberation Mono" w:eastAsia="Times New Roman" w:cs="Liberation Mono"/>
          <w:sz w:val="20"/>
          <w:szCs w:val="20"/>
          <w:lang w:eastAsia="ru-RU"/>
        </w:rPr>
      </w:pPr>
      <w:r>
        <w:rPr>
          <w:rFonts w:eastAsia="Times New Roman" w:cs="Liberation Mono" w:ascii="Liberation Mono" w:hAnsi="Liberation Mono"/>
          <w:sz w:val="20"/>
          <w:szCs w:val="20"/>
          <w:lang w:eastAsia="ru-RU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Liberation Mono" w:hAnsi="Liberation Mono" w:eastAsia="Times New Roman" w:cs="Liberation Mono"/>
          <w:sz w:val="20"/>
          <w:szCs w:val="20"/>
          <w:lang w:eastAsia="ru-RU"/>
        </w:rPr>
      </w:pPr>
      <w:r>
        <w:rPr>
          <w:rFonts w:eastAsia="Times New Roman" w:cs="Liberation Mono" w:ascii="Liberation Mono" w:hAnsi="Liberation Mono"/>
          <w:sz w:val="20"/>
          <w:szCs w:val="20"/>
          <w:lang w:eastAsia="ru-RU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Liberation Mono" w:hAnsi="Liberation Mono" w:eastAsia="Times New Roman" w:cs="Liberation Mono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Глава 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Liberation Mono" w:hAnsi="Liberation Mono" w:eastAsia="Times New Roman" w:cs="Liberation Mono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Тугулымского муниципального  округа                                                                      А.Н. Поздеев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                 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>Утверждено</w:t>
      </w:r>
    </w:p>
    <w:p>
      <w:pPr>
        <w:pStyle w:val="Normal"/>
        <w:jc w:val="end"/>
        <w:rPr/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>постановлением администрации</w:t>
      </w:r>
    </w:p>
    <w:p>
      <w:pPr>
        <w:pStyle w:val="Normal"/>
        <w:jc w:val="end"/>
        <w:rPr/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>Тугулымского муниципального округа</w:t>
      </w:r>
    </w:p>
    <w:p>
      <w:pPr>
        <w:pStyle w:val="Normal"/>
        <w:jc w:val="end"/>
        <w:rPr/>
      </w:pPr>
      <w:r>
        <w:rPr>
          <w:rFonts w:cs="Times New Roman" w:ascii="Times New Roman" w:hAnsi="Times New Roman"/>
          <w:color w:val="C00000"/>
          <w:sz w:val="24"/>
          <w:szCs w:val="24"/>
        </w:rPr>
        <w:t xml:space="preserve">                                                                                         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от 29.10.2025 № 720 </w:t>
      </w:r>
      <w:r>
        <w:rPr>
          <w:rFonts w:cs="Times New Roman" w:ascii="Times New Roman" w:hAnsi="Times New Roman"/>
          <w:color w:val="C00000"/>
          <w:sz w:val="24"/>
          <w:szCs w:val="24"/>
        </w:rPr>
        <w:t xml:space="preserve">           </w:t>
      </w:r>
    </w:p>
    <w:p>
      <w:pPr>
        <w:pStyle w:val="Normal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cs="Times New Roman" w:ascii="Times New Roman" w:hAnsi="Times New Roman"/>
          <w:color w:val="C00000"/>
          <w:sz w:val="24"/>
          <w:szCs w:val="24"/>
        </w:rPr>
        <w:t xml:space="preserve">            </w:t>
      </w:r>
    </w:p>
    <w:p>
      <w:pPr>
        <w:pStyle w:val="Normal"/>
        <w:jc w:val="center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cs="Times New Roman" w:ascii="Times New Roman" w:hAnsi="Times New Roman"/>
          <w:color w:val="C00000"/>
          <w:sz w:val="24"/>
          <w:szCs w:val="24"/>
        </w:rPr>
        <w:t xml:space="preserve">                                       </w:t>
      </w:r>
    </w:p>
    <w:p>
      <w:pPr>
        <w:pStyle w:val="Normal"/>
        <w:jc w:val="center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ПОЛОЖЕНИЕ</w:t>
      </w:r>
    </w:p>
    <w:p>
      <w:pPr>
        <w:pStyle w:val="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об оплате труда и материальном стимулировании работников </w:t>
      </w:r>
    </w:p>
    <w:p>
      <w:pPr>
        <w:pStyle w:val="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Муниципального казенного учреждения «Административно-хозяйственное управление Тугулымского муниципального округа Свердловской области»</w:t>
      </w:r>
    </w:p>
    <w:p>
      <w:pPr>
        <w:pStyle w:val="Normal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>1. Общие положения</w:t>
      </w:r>
    </w:p>
    <w:p>
      <w:pPr>
        <w:pStyle w:val="Normal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1.1. Настоящее  Положение об оплате труда и материальном стимулировании работников Муниципального казенного учреждения «Административно-хозяйственное управление Тугулымского муниципального округа Свердловской области» (далее - Положение) разработано в соответствии с Трудовым кодексом Российской Федерации, Едиными рекомендациями по установлению на федеральном, региональном и местном уровнях систем оплаты труда работников государственных и муниципальных учреждений на 2025 год, утвержденными решением Российской трехсторонней комиссии по регулированию социально-трудовых отношений от </w:t>
      </w:r>
      <w:r>
        <w:rPr>
          <w:rFonts w:eastAsia="Calibri" w:cs="Times New Roman" w:ascii="Times New Roman" w:hAnsi="Times New Roman"/>
          <w:sz w:val="24"/>
          <w:szCs w:val="24"/>
        </w:rPr>
        <w:t xml:space="preserve">23 декабря 2024 года протокол № 10пр, </w:t>
      </w:r>
      <w:r>
        <w:rPr>
          <w:rFonts w:cs="Times New Roman" w:ascii="Times New Roman" w:hAnsi="Times New Roman"/>
          <w:sz w:val="24"/>
          <w:szCs w:val="24"/>
        </w:rPr>
        <w:t xml:space="preserve"> постановлением </w:t>
      </w:r>
      <w:r>
        <w:rPr>
          <w:rFonts w:eastAsia="Calibri" w:cs="Times New Roman" w:ascii="Times New Roman" w:hAnsi="Times New Roman"/>
          <w:sz w:val="24"/>
          <w:szCs w:val="24"/>
        </w:rPr>
        <w:t xml:space="preserve"> Правительства Свердловской области от 06 февраля 2009 года № 145-ПП (с изменениями от 02.07.2020)            «О системах оплаты труда работников государственных бюджетных, автономных и казенных учреждений Свердловской области», Постановлением администрации Тугулымского городского округа от 16.11.2012 № 322 «О создании муниципального казенного учреждения «Административно-хозяйственное управление Тугулымского городского округа».</w:t>
      </w:r>
    </w:p>
    <w:p>
      <w:pPr>
        <w:pStyle w:val="Normal"/>
        <w:ind w:firstLine="708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1.2. Положение включает в себя:</w:t>
      </w:r>
    </w:p>
    <w:p>
      <w:pPr>
        <w:pStyle w:val="ListParagraph"/>
        <w:widowControl/>
        <w:numPr>
          <w:ilvl w:val="0"/>
          <w:numId w:val="1"/>
        </w:numPr>
        <w:suppressAutoHyphens w:val="true"/>
        <w:bidi w:val="0"/>
        <w:spacing w:before="0" w:after="0"/>
        <w:ind w:firstLine="737" w:start="0" w:end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порядок и условия системы оплаты труда работников учреждения;</w:t>
      </w:r>
    </w:p>
    <w:p>
      <w:pPr>
        <w:pStyle w:val="ListParagraph"/>
        <w:widowControl/>
        <w:numPr>
          <w:ilvl w:val="0"/>
          <w:numId w:val="1"/>
        </w:numPr>
        <w:suppressAutoHyphens w:val="true"/>
        <w:bidi w:val="0"/>
        <w:spacing w:before="0" w:after="0"/>
        <w:ind w:firstLine="737" w:start="0" w:end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порядок и условия установления выплат компенсационного характера в соответствии  с Приказом Министерства здравоохранения  и социального развития Российской Федерации от 29 декабря 2007 года № 822 «Об утверждении Перечня видов выплат компенсационного характера в бюджетных, казенных учреждениях и разъяснения  о порядке установления выплат компенсационного характера в этих учреждениях»;</w:t>
      </w:r>
    </w:p>
    <w:p>
      <w:pPr>
        <w:pStyle w:val="ListParagraph"/>
        <w:widowControl/>
        <w:numPr>
          <w:ilvl w:val="0"/>
          <w:numId w:val="1"/>
        </w:numPr>
        <w:suppressAutoHyphens w:val="true"/>
        <w:bidi w:val="0"/>
        <w:spacing w:before="0" w:after="0"/>
        <w:ind w:firstLine="737" w:start="0" w:end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порядок и условия установления выплат стимулирующего характера в соответствии  с приказом Министерства здравоохранения и социального развития Российской Федерации от 29.12.2007 года № 818 «Об утверждении Перечня видов выплат стимулирующего характера в федеральных бюджетных учреждениях и разъяснения о порядке установления стимулирующего характера в федеральных бюджетных учреждениях»;</w:t>
      </w:r>
    </w:p>
    <w:p>
      <w:pPr>
        <w:pStyle w:val="ListParagraph"/>
        <w:widowControl/>
        <w:numPr>
          <w:ilvl w:val="0"/>
          <w:numId w:val="1"/>
        </w:numPr>
        <w:suppressAutoHyphens w:val="true"/>
        <w:bidi w:val="0"/>
        <w:spacing w:before="0" w:after="0"/>
        <w:ind w:firstLine="737" w:start="0" w:end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условия оплаты труда директора, главного бухгалтера, заместителей главного бухгалтера.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1.3. Условия оплаты труда, включая размер оклада (должностного оклада) работника учреждения, выплаты компенсационного и стимулирующего характера является обязательными для включения в трудовой договор в соответствии  со статьей 57 Трудового кодекса Российской Федерации.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1.4. Заработная плата работников учреждения (без учета премий и иных стимулирующих выплат), устанавливаемая в соответствии с утвержденными системами оплаты труда, не может быть ниже заработной платы (без учета премий и иных стимулирующих выплат), выплачиваемой в соответствии с системами оплаты труда, веденными ранее, при условии сохранения объема должностных обязанностей работников и выполнения ими той же квалификации.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1.5. Определение размеров заработной платы осуществляется в соответствии с системой оплаты труда работников учреждения как по основным должностям, так и по должностям, занятым в порядке совместительства.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Определение размеров заработной платы по основной должности, а также по должности, занимаемой в порядке совместительства, производится раздельно по каждой из должностей.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1.6. Штатное расписание учреждения утверждается руководителем учреждения и включает в себя все должности административно-управленческого, основного  и вспомогательного персонала учреждения и согласовывается с главным распорядителем бюджетных средств.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1.7. Фонд оплаты труда формируется на календарный год исходя из объема  бюджетных ассигнований на обеспечение выполнения  функций учреждения.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          </w:t>
      </w:r>
      <w:r>
        <w:rPr>
          <w:rFonts w:cs="Times New Roman" w:ascii="Times New Roman" w:hAnsi="Times New Roman"/>
          <w:b/>
          <w:bCs/>
          <w:sz w:val="24"/>
          <w:szCs w:val="24"/>
        </w:rPr>
        <w:t>2.Порядок и условия оплаты труда работников учреждения</w:t>
      </w:r>
    </w:p>
    <w:p>
      <w:pPr>
        <w:pStyle w:val="Normal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2.1. Размеры окладов (должностных окладов) работников учреждения установлены с учетом профессиональных квалификационных групп (квалификационных уровней профессиональных квалификационных  групп), которые необходимы для осуществления соответствующей профессиональной деятельности  соответствии  с Приложением № 1 к настоящему Положению.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В случае, если должности работников учреждения, не включаемые в профессиональные квалификационные группы и не структурированы по квалификационным уровням, то размеры окладов (должностных окладов) устанавливаются по профессиональным  квалификационным группам в соответствии с Приложением № 2 к настоящему Положению.</w:t>
      </w:r>
    </w:p>
    <w:p>
      <w:pPr>
        <w:pStyle w:val="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2.2. Работникам устанавливается  доплата до минимального размера оплаты труда, если месячная заработная плата работников, полностью отработавших за этот период норму рабочего времени , ниже минимального размера оплаты труда, установленного в соответствии с федеральным законом  или нормативным правовым актом регионального уровня.</w:t>
      </w:r>
    </w:p>
    <w:p>
      <w:pPr>
        <w:pStyle w:val="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2.3. В состав заработной платы (части заработной платы) работника не превышающей минимального размера оплаты труда не входит сумма повышенной оплаты труда сверхурочной работы, совмещение профессий, работы в ночное время, а также выходные и праздничные дни (Постановление Конституционного суда от 11.04.2019 № 17-П).</w:t>
      </w:r>
    </w:p>
    <w:p>
      <w:pPr>
        <w:pStyle w:val="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2.4. Выплачивать заработную плату за первую половину месяца 26-го числа каждого месяца, а расчет за предыдущий месяц производить 11-го числа следующего месяца.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При совпадении для выплаты с выходным или праздничным днем заработную  плату выплачивать накануне  этого дня.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Выплачивать заработную плату вновь принятым работникам не реже, чем каждые полмесяца, т.е. не позднее чем через 15 календарных дней после начала работы.</w:t>
      </w:r>
    </w:p>
    <w:p>
      <w:pPr>
        <w:pStyle w:val="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2.5. Выплачивать заработную плату за первую половину месяца пропорционально отработанному времени (письмо Минтруда от 05.02.2019 № 14-1/ООГ-549).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При расчете заработной платы  за первую половину месяца учитывать оклад работника, набавки за совмещение должностей, за сложность и напряженность, выслугу  лет, компенсации за работу в ночное время другие выплаты, которые не зависят от итогов работы за расчетный период.</w:t>
      </w:r>
    </w:p>
    <w:p>
      <w:pPr>
        <w:pStyle w:val="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2.6. Районный коэффициент, премию, компенсацию за сверхурочную работу, работу в выходной или праздничный день и другие выплаты, которые зависят от итогов работы за расчетный месяц, учитывать при расчете заработной платы за вторую выплату месяца.</w:t>
      </w:r>
    </w:p>
    <w:p>
      <w:pPr>
        <w:pStyle w:val="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2.7. Заработную плату за вторую половину декабря выплачивать 30 декабря, а заработную плату за первую половину января – частями 14 и 26 января. Последующие выплаты производить в сроки, установленные в п.2.4. настоящего Положения.</w:t>
      </w:r>
    </w:p>
    <w:p>
      <w:pPr>
        <w:pStyle w:val="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2.8. Обеспечивать своевременную выдачу каждому работнику расчетного листка, в котором содержится информация о составных частях заработной платы, причитающихся работнику за соответствующий период, размерах и основаниях произведенных </w:t>
      </w:r>
      <w:r>
        <w:rPr>
          <w:rFonts w:cs="Times New Roman" w:ascii="Times New Roman" w:hAnsi="Times New Roman"/>
          <w:color w:val="1C1C1C"/>
          <w:sz w:val="24"/>
          <w:szCs w:val="24"/>
        </w:rPr>
        <w:t>начисл</w:t>
      </w:r>
      <w:r>
        <w:rPr>
          <w:rFonts w:cs="Times New Roman" w:ascii="Times New Roman" w:hAnsi="Times New Roman"/>
          <w:color w:val="1C1C1C"/>
          <w:sz w:val="24"/>
          <w:szCs w:val="24"/>
        </w:rPr>
        <w:t>ений,</w:t>
      </w:r>
      <w:r>
        <w:rPr>
          <w:rFonts w:cs="Times New Roman" w:ascii="Times New Roman" w:hAnsi="Times New Roman"/>
          <w:color w:val="1C1C1C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а также общей денежной сумме, подлежащей выплате (ст. 136 ТК РФ).</w:t>
      </w:r>
    </w:p>
    <w:p>
      <w:pPr>
        <w:pStyle w:val="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 заявлению работника расчетный листок может направляться на его электронную почту. Адрес электронной почты работник должен указать в заявлении. Об изменении адреса электронной  почты, на который направляется расчетный  листок, работник должен уведомить Работодателя в течение трех рабочих дней.</w:t>
      </w:r>
    </w:p>
    <w:p>
      <w:pPr>
        <w:pStyle w:val="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2.9. Оплату труда за работу за пределами нормальной продолжительности  рабочего времени, в ночное время, в выходные и нерабочие праздничные дни и совмещение профессий (должностей), расширение зон обслуживания, увеличение объема работы или исполнение обязанностей временно отсутствующего работника без освобождения от работы, производить в соответствии с трудовым законодательством.</w:t>
      </w:r>
    </w:p>
    <w:p>
      <w:pPr>
        <w:pStyle w:val="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/>
        <w:numPr>
          <w:ilvl w:val="0"/>
          <w:numId w:val="0"/>
        </w:numPr>
        <w:suppressAutoHyphens w:val="true"/>
        <w:bidi w:val="0"/>
        <w:spacing w:before="0" w:after="0"/>
        <w:ind w:hanging="0" w:start="0" w:end="0"/>
        <w:contextualSpacing/>
        <w:jc w:val="center"/>
        <w:rPr/>
      </w:pPr>
      <w:r>
        <w:rPr>
          <w:rFonts w:cs="Times New Roman" w:ascii="Times New Roman" w:hAnsi="Times New Roman"/>
          <w:b/>
          <w:bCs/>
          <w:sz w:val="24"/>
          <w:szCs w:val="24"/>
        </w:rPr>
        <w:t>3. Порядок и условия установления выплат компенсационного характера</w:t>
      </w:r>
    </w:p>
    <w:p>
      <w:pPr>
        <w:pStyle w:val="Normal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4"/>
          <w:szCs w:val="24"/>
        </w:rPr>
        <w:tab/>
        <w:t>3.1. С учетом условий труда в соответствии с трудовым законодательством  работникам учреждения устанавливаются выплаты компенсационного характера.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4"/>
          <w:szCs w:val="24"/>
        </w:rPr>
        <w:tab/>
        <w:t>3.2. В соответствии с Перечнем видов выплат компенсационного характера работникам учреждения осуществляются следующие выплаты компенсационного  характера: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а)  выплаты за работу в местностях с особо климатическими условиями;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б) выплаты за работу в условиях, отклоняющихся от нормальных (при выполнении работ различной квалификации, совмещении профессий (должностей), сверхурочной работе,  работе в ночное время и при выполнении работ в других условиях, отклоняющихся от нормальных.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3.3. За работу в местности  с особыми климатическими условиями выплачивается  уральский коэффициент  в размере 15 процентов и начисляется на фактический заработок в данном месяце.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3.4.Оплата труда в ночное время (с 22 часов до 6 часов) производится в соответствии со ст. 154 ТК РФ в размере 20 процентов часовой тарифной ставки (должностного оклада и премиальных выплат (выслуга лет (стаж работы), премия(рассчитанного за час работы), за каждый час работы в ночное время.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3.5. Выплаты за сверхурочную работу производятся в соответствии со статьей 152 ТК РФ и оплачиваются за первые два часа работы не менее чем в полуторном размере, за последующие часы - не менее чем в двойном размере.</w:t>
      </w:r>
    </w:p>
    <w:p>
      <w:pPr>
        <w:pStyle w:val="Normal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Тарифная ставка при оплате за сверхурочную работу рассчитывается путем деления установленного работнику оклада и всех  предусмотренных системой  оплаты компенсационных и стимулирующих выплат (надбавка за сложность и напряженность, классность, надбавка за стаж (выслугу), премия на нормативное количество рабочих часов в отчетном месяце с учетом. </w:t>
      </w:r>
      <w:bookmarkStart w:id="4" w:name="_Hlk195779831"/>
      <w:bookmarkEnd w:id="4"/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По желанию работника сверхурочная работа вместо повышенной оплаты труда может  компенсироваться предоставлением дополнительного времени отдыха, но не менее времени, отработанного сверхурочно.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3.6. Оплата за работу в выходные и нерабочие праздничные дни работникам учреждения, привлекавшимся к работе в выходные и нерабочие дни, производится в соответствии со статьей 153 ТК РФ и оплачивается не менее чем в дойном размере.</w:t>
      </w:r>
    </w:p>
    <w:p>
      <w:pPr>
        <w:pStyle w:val="Normal"/>
        <w:ind w:firstLine="708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расчете  доплаты за работу  выходные и праздники нужно учитывать все компенсационные и стимулирующие выплаты, предусмотренные установленной для работников оплаты труда (надбавка за сложность и напряженность, классность, надбавка за стаж (выслугу), премия).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По желанию работника, работавшего в выходной или праздничный день, ему может быть  предоставлен другой день отдыха. В этом случае работа в выходной  или нерабочий праздничный день оплачивается в одинарном размере, а день отдыха оплате не подлежит.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3.7. При совмещении профессий (должностей), расширении зоны обслуживания, увеличении объема работы или исполнении  обязанностей временно отсутствующего работника без освобождения от работы, определенной трудовым договором, работникам учреждения устанавливается доплата по соглашению сторон в соответствии со статьей 151 ТК РФ.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Срок в течение которого работник будет выполнять дополнительную работу, ее содержание и объем устанавливается с письменного согласия работника.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Размер доплаты устанавливается с учетом содержания и (или) объема дополнительной работы.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3.8. При работе на условиях неполного рабочего времени компенсационные выплаты работнику пропорционально уменьшаются.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            </w:t>
      </w:r>
      <w:r>
        <w:rPr>
          <w:rFonts w:cs="Times New Roman" w:ascii="Times New Roman" w:hAnsi="Times New Roman"/>
          <w:b/>
          <w:bCs/>
          <w:sz w:val="24"/>
          <w:szCs w:val="24"/>
        </w:rPr>
        <w:t>4.Порядок и условия установления выплат стимулирующего характера</w:t>
      </w:r>
    </w:p>
    <w:p>
      <w:pPr>
        <w:pStyle w:val="Normal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4.1. Настоящим Положением работникам устанавливаются следующие выплаты к окладу (должностному окладу):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а) персональная ежемесячная надбавка к окладу (должностному окладу), которая применяется  к должностному окладу работников Муниципального казенного учреждения «Административно-хозяйственное управление Тугулымского муниципального округа Свердловской области»  с учетом уровня его профессиональной подготовки, сложности, напряженности  выполняемой работы, степени самостоятельности и ответственности при выполнении поставленных задач устанавливается в размере: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- начальникам отделов, главному бухгалтеру, заместителям главного бухгалтера главным специалистам, ведущим бухгалтерам в размере 75 процентов должностного оклада;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- всем ведущим специалистам, ведущему юрисконсульту, ведущему программисту, ведущему инженеру-сметчику и водителям, выполняющим дальние поездки в размере 65 процентов должностного оклада;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- диспетчеру, специалисту по безопасности дорожного движения в размере 60 процентов должностного оклада </w:t>
      </w:r>
      <w:r>
        <w:rPr>
          <w:rFonts w:cs="Times New Roman" w:ascii="Times New Roman" w:hAnsi="Times New Roman"/>
          <w:color w:val="1C1C1C"/>
          <w:sz w:val="24"/>
          <w:szCs w:val="24"/>
        </w:rPr>
        <w:t>(</w:t>
      </w:r>
      <w:r>
        <w:rPr>
          <w:rFonts w:cs="Times New Roman" w:ascii="Times New Roman" w:hAnsi="Times New Roman"/>
          <w:color w:val="1C1C1C"/>
          <w:sz w:val="24"/>
          <w:szCs w:val="24"/>
        </w:rPr>
        <w:t>применяется к вновь принятым работникам с 10.11.2023 года</w:t>
      </w:r>
      <w:r>
        <w:rPr>
          <w:rFonts w:cs="Times New Roman" w:ascii="Times New Roman" w:hAnsi="Times New Roman"/>
          <w:color w:val="1C1C1C"/>
          <w:sz w:val="24"/>
          <w:szCs w:val="24"/>
        </w:rPr>
        <w:t>)</w:t>
      </w:r>
      <w:r>
        <w:rPr>
          <w:rFonts w:cs="Times New Roman" w:ascii="Times New Roman" w:hAnsi="Times New Roman"/>
          <w:b/>
          <w:bCs/>
          <w:color w:val="1C1C1C"/>
          <w:sz w:val="24"/>
          <w:szCs w:val="24"/>
        </w:rPr>
        <w:t>.</w:t>
      </w:r>
    </w:p>
    <w:p>
      <w:pPr>
        <w:pStyle w:val="Normal"/>
        <w:ind w:firstLine="708"/>
        <w:rPr>
          <w:color w:val="1C1C1C"/>
        </w:rPr>
      </w:pPr>
      <w:r>
        <w:rPr>
          <w:rFonts w:cs="Times New Roman" w:ascii="Times New Roman" w:hAnsi="Times New Roman"/>
          <w:color w:val="1C1C1C"/>
          <w:sz w:val="24"/>
          <w:szCs w:val="24"/>
        </w:rPr>
        <w:t>Размер  персональной ежемесячной надбавки устанавливается в пределах 75% к окладу (должностному окладу) (</w:t>
      </w:r>
      <w:r>
        <w:rPr>
          <w:rFonts w:cs="Times New Roman" w:ascii="Times New Roman" w:hAnsi="Times New Roman"/>
          <w:color w:val="1C1C1C"/>
          <w:sz w:val="24"/>
          <w:szCs w:val="24"/>
        </w:rPr>
        <w:t xml:space="preserve">применяется к работникам принятым до 10.11.2023 года). </w:t>
      </w:r>
    </w:p>
    <w:p>
      <w:pPr>
        <w:pStyle w:val="Normal"/>
        <w:ind w:firstLine="708"/>
        <w:rPr>
          <w:color w:val="1C1C1C"/>
        </w:rPr>
      </w:pPr>
      <w:r>
        <w:rPr>
          <w:rFonts w:cs="Times New Roman" w:ascii="Times New Roman" w:hAnsi="Times New Roman"/>
          <w:color w:val="1C1C1C"/>
          <w:sz w:val="24"/>
          <w:szCs w:val="24"/>
        </w:rPr>
        <w:t>Решение об установлении  персональной надбавки к окладу (должностному окладу) и его размерах принимается руководителем  учреждения с учетом рекомендации комиссии по премированию работников учреждения.</w:t>
      </w:r>
    </w:p>
    <w:p>
      <w:pPr>
        <w:pStyle w:val="Normal"/>
        <w:ind w:firstLine="708"/>
        <w:rPr>
          <w:color w:val="1C1C1C"/>
        </w:rPr>
      </w:pPr>
      <w:r>
        <w:rPr>
          <w:rFonts w:cs="Times New Roman" w:ascii="Times New Roman" w:hAnsi="Times New Roman"/>
          <w:color w:val="1C1C1C"/>
          <w:sz w:val="24"/>
          <w:szCs w:val="24"/>
        </w:rPr>
        <w:t>Применение персональной ежемесячной надбавки не образует новый оклад  и не учитывается при начислении иных стимулирующих и компенсационных выплат, устанавливаемых в процентном отношении к окладу (должностному окладу).</w:t>
      </w:r>
    </w:p>
    <w:p>
      <w:pPr>
        <w:pStyle w:val="Normal"/>
        <w:ind w:firstLine="708"/>
        <w:rPr>
          <w:color w:val="1C1C1C"/>
        </w:rPr>
      </w:pPr>
      <w:r>
        <w:rPr>
          <w:rFonts w:cs="Times New Roman" w:ascii="Times New Roman" w:hAnsi="Times New Roman"/>
          <w:color w:val="1C1C1C"/>
          <w:sz w:val="24"/>
          <w:szCs w:val="24"/>
        </w:rPr>
        <w:t xml:space="preserve">б) ежемесячная  надбавка к окладу (должностному окладу) за выслугу  лет в зависимости от стажа работы по обеспечению деятельности органов государственной власти и местного самоуправления и муниципальных учреждениях культуры </w:t>
      </w:r>
      <w:r>
        <w:rPr>
          <w:rFonts w:cs="Times New Roman" w:ascii="Times New Roman" w:hAnsi="Times New Roman"/>
          <w:color w:val="1C1C1C"/>
          <w:sz w:val="24"/>
          <w:szCs w:val="24"/>
        </w:rPr>
        <w:t xml:space="preserve">(для принятых сотрудников до 10.11.2023 года) </w:t>
      </w:r>
      <w:r>
        <w:rPr>
          <w:rFonts w:cs="Times New Roman" w:ascii="Times New Roman" w:hAnsi="Times New Roman"/>
          <w:color w:val="1C1C1C"/>
          <w:sz w:val="24"/>
          <w:szCs w:val="24"/>
        </w:rPr>
        <w:t>в следующих размерах:</w:t>
      </w:r>
    </w:p>
    <w:p>
      <w:pPr>
        <w:pStyle w:val="Normal"/>
        <w:ind w:firstLine="708"/>
        <w:rPr>
          <w:color w:val="1C1C1C"/>
        </w:rPr>
      </w:pPr>
      <w:r>
        <w:rPr>
          <w:rFonts w:cs="Times New Roman" w:ascii="Times New Roman" w:hAnsi="Times New Roman"/>
          <w:color w:val="1C1C1C"/>
          <w:sz w:val="24"/>
          <w:szCs w:val="24"/>
        </w:rPr>
        <w:t>- 10 процентов – при стаже работы от 3 до 8 лет</w:t>
      </w:r>
    </w:p>
    <w:p>
      <w:pPr>
        <w:pStyle w:val="Normal"/>
        <w:ind w:firstLine="708"/>
        <w:rPr>
          <w:color w:val="1C1C1C"/>
        </w:rPr>
      </w:pPr>
      <w:r>
        <w:rPr>
          <w:rFonts w:cs="Times New Roman" w:ascii="Times New Roman" w:hAnsi="Times New Roman"/>
          <w:color w:val="1C1C1C"/>
          <w:sz w:val="24"/>
          <w:szCs w:val="24"/>
        </w:rPr>
        <w:t>- 15 процентов – при стаже работы от 8 до 13 лет</w:t>
      </w:r>
    </w:p>
    <w:p>
      <w:pPr>
        <w:pStyle w:val="Normal"/>
        <w:ind w:firstLine="708"/>
        <w:rPr>
          <w:color w:val="1C1C1C"/>
        </w:rPr>
      </w:pPr>
      <w:r>
        <w:rPr>
          <w:rFonts w:cs="Times New Roman" w:ascii="Times New Roman" w:hAnsi="Times New Roman"/>
          <w:color w:val="1C1C1C"/>
          <w:sz w:val="24"/>
          <w:szCs w:val="24"/>
        </w:rPr>
        <w:t>- 20 процентов – при стаже работы от 13 до 18 лет</w:t>
      </w:r>
    </w:p>
    <w:p>
      <w:pPr>
        <w:pStyle w:val="Normal"/>
        <w:ind w:firstLine="708"/>
        <w:rPr>
          <w:color w:val="1C1C1C"/>
        </w:rPr>
      </w:pPr>
      <w:r>
        <w:rPr>
          <w:rFonts w:cs="Times New Roman" w:ascii="Times New Roman" w:hAnsi="Times New Roman"/>
          <w:color w:val="1C1C1C"/>
          <w:sz w:val="24"/>
          <w:szCs w:val="24"/>
        </w:rPr>
        <w:t>- 25 процентов – при стаже работы от 18 до 23 лет</w:t>
      </w:r>
    </w:p>
    <w:p>
      <w:pPr>
        <w:pStyle w:val="Normal"/>
        <w:ind w:firstLine="708"/>
        <w:rPr>
          <w:color w:val="1C1C1C"/>
        </w:rPr>
      </w:pPr>
      <w:bookmarkStart w:id="5" w:name="_Hlk195709984"/>
      <w:r>
        <w:rPr>
          <w:rFonts w:cs="Times New Roman" w:ascii="Times New Roman" w:hAnsi="Times New Roman"/>
          <w:color w:val="1C1C1C"/>
          <w:sz w:val="24"/>
          <w:szCs w:val="24"/>
        </w:rPr>
        <w:t>- 30 процентов – при стаже работы свыше  23 лет</w:t>
      </w:r>
      <w:bookmarkEnd w:id="5"/>
    </w:p>
    <w:p>
      <w:pPr>
        <w:pStyle w:val="Normal"/>
        <w:rPr>
          <w:color w:val="1C1C1C"/>
        </w:rPr>
      </w:pPr>
      <w:r>
        <w:rPr>
          <w:rFonts w:cs="Times New Roman" w:ascii="Times New Roman" w:hAnsi="Times New Roman"/>
          <w:color w:val="1C1C1C"/>
          <w:sz w:val="24"/>
          <w:szCs w:val="24"/>
        </w:rPr>
        <w:tab/>
        <w:t xml:space="preserve">- ежемесячная надбавка к окладу (должностному окладу) за непрерывный стаж работы в Муниципальном казенном учреждении «Административно-хозяйственное управление Тугулымского муниципального округа Свердловской области» </w:t>
      </w:r>
      <w:r>
        <w:rPr>
          <w:rFonts w:cs="Times New Roman" w:ascii="Times New Roman" w:hAnsi="Times New Roman"/>
          <w:color w:val="1C1C1C"/>
          <w:sz w:val="24"/>
          <w:szCs w:val="24"/>
        </w:rPr>
        <w:t>(принятых вновь с 10.11.2023 года</w:t>
      </w:r>
      <w:bookmarkStart w:id="6" w:name="_Hlk195780986"/>
      <w:r>
        <w:rPr>
          <w:rFonts w:cs="Times New Roman" w:ascii="Times New Roman" w:hAnsi="Times New Roman"/>
          <w:color w:val="1C1C1C"/>
          <w:sz w:val="24"/>
          <w:szCs w:val="24"/>
        </w:rPr>
        <w:t>)</w:t>
      </w:r>
      <w:bookmarkEnd w:id="6"/>
      <w:r>
        <w:rPr>
          <w:rFonts w:cs="Times New Roman" w:ascii="Times New Roman" w:hAnsi="Times New Roman"/>
          <w:color w:val="1C1C1C"/>
          <w:sz w:val="24"/>
          <w:szCs w:val="24"/>
        </w:rPr>
        <w:t xml:space="preserve"> в следующих размерах:</w:t>
      </w:r>
    </w:p>
    <w:p>
      <w:pPr>
        <w:pStyle w:val="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- 10 процентов – при стаже работы от 3 до 8 лет</w:t>
      </w:r>
    </w:p>
    <w:p>
      <w:pPr>
        <w:pStyle w:val="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- 15 процентов – при стаже работы от 8 до 13 лет</w:t>
      </w:r>
    </w:p>
    <w:p>
      <w:pPr>
        <w:pStyle w:val="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- 20 процентов – при стаже работы от 13 до 18 лет</w:t>
      </w:r>
    </w:p>
    <w:p>
      <w:pPr>
        <w:pStyle w:val="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- 25 процентов – при стаже работы от 18 до 23 лет</w:t>
      </w:r>
    </w:p>
    <w:p>
      <w:pPr>
        <w:pStyle w:val="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- 30 процентов – при стаже работы свыше  23 лет</w:t>
      </w:r>
    </w:p>
    <w:p>
      <w:pPr>
        <w:pStyle w:val="Normal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в) ежемесячная надбавка  к должностному окладу  водителя за классность при наличии в водительском удостоверении  отметок на право управления определенными категориями транспортных средств , присвоенная  квалификационной комиссией на основании «Положения о порядке присвоения классности  водителям автомобиля»  в следующих размерах: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- водителя 1-го класса (категории В, С, Е) в размере 25 процентов к окладу;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- водителям 2-го класса (категории В, С, Е)  либо только Д или Е) в размере 15 процентов к окладу.</w:t>
      </w:r>
    </w:p>
    <w:p>
      <w:pPr>
        <w:pStyle w:val="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г) премия  по итогам работы и результатам труда работников учреждения устанавливается за отчетный период (месяц) за фактически отработанное  время с учетом уральского коэффициента  в пределах утвержденного фонда оплаты труда в следующих размерах:</w:t>
      </w:r>
    </w:p>
    <w:p>
      <w:pPr>
        <w:pStyle w:val="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главный бухгалтер, заместитель главного бухгалтера,  начальники отделов и основной персонал (служащие) – 60 процентов от должностного оклада;</w:t>
      </w:r>
    </w:p>
    <w:p>
      <w:pPr>
        <w:pStyle w:val="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водители – 60 процентов от оклада;</w:t>
      </w:r>
    </w:p>
    <w:p>
      <w:pPr>
        <w:pStyle w:val="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вспомогательный персонал (рабочие и МОП) – 25 процентов от оклада.</w:t>
      </w:r>
    </w:p>
    <w:p>
      <w:pPr>
        <w:pStyle w:val="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Выплата премии работникам осуществляется по решению руководителя учреждения с учетом рекомендации комиссии по премированию работников и критериев оценки эффективности труда работников учреждения;</w:t>
      </w:r>
    </w:p>
    <w:p>
      <w:pPr>
        <w:pStyle w:val="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личный вклад в общие результаты работы, оперативность и профессионализм в решении вопросов, входящих в их компетенцию;</w:t>
      </w:r>
    </w:p>
    <w:p>
      <w:pPr>
        <w:pStyle w:val="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своевременное и качественное выполнение работниками возложенных на них функций и должностных обязанностей, определенных должностной инструкцией;</w:t>
      </w:r>
    </w:p>
    <w:p>
      <w:pPr>
        <w:pStyle w:val="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соблюдение работниками трудовой дисциплины и правил внутреннего трудового распорядка;</w:t>
      </w:r>
    </w:p>
    <w:p>
      <w:pPr>
        <w:pStyle w:val="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выполнение работниками в пределах их должностных полномочий плана работы учреждения;</w:t>
      </w:r>
    </w:p>
    <w:p>
      <w:pPr>
        <w:pStyle w:val="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инициатива, творчество и применение в работе современных форм организации труда.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4.2. Премия  по итогам  работы за месяц  выплачивается 11 числа следующего месяца.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4.3. Работник вправе обжаловать  необоснованное, на его взгляд, полное или частичное депремирование в комиссию по трудовым спорам или в судебном порядке, а  также обратиться к соответствующему  руководителю с просьбой об отмене правового акта и его депремировании с указанием обоснований.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4.4. В пределах утвержденного фонда оплаты труда работнику учреждения выплачивается материальная помощь с учетом уральского коэффициента: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- главный бухгалтер, заместитель главного бухгалтера и основной персонал (служащие) – 2 должностных оклада;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- водители – 2 должностных оклада;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- вспомогательный персонал (рабочие и МОП) – 1 должностной оклад.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4.5. Материальная помощь выплачивается работнику при уходе в ежегодный основной и дополнительный оплачиваемые отпуска.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4.6. В случае разделения ежегодного основного и дополнительного оплачиваемых отпусков в установленном порядке на части, материальная помощь выплачивается при предоставлении любой части указанного отпуска по заявлению работника.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4.7. В исключительных случаях, по заявлению работника, материальная помощь может быть выплачена в течение календарного года, независимо от ухода работника в отпуск.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4.8. Решение о выплате материальной помощи оформляется приказом руководителя учреждения.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4.9. Материальная помощь выплачивается по действующему на дату выплаты материальной помощи окладу (должностному окладу).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4.10. Материальная помощь не выплачивается  работникам, находящимся в отпуске по уходу за ребенком до достижения трех лет, других отпусках без сохранения платы.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4.11. В случае увольнения работника выплаченная материальная помощь перерасчету и удержанию не подлежит.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4.12. Начисление оплаты труда работникам учреждения производится ежемесячно на основании табеля учета рабочего времени и графика дежурства сторожей.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/>
        <w:numPr>
          <w:ilvl w:val="0"/>
          <w:numId w:val="0"/>
        </w:numPr>
        <w:suppressAutoHyphens w:val="true"/>
        <w:bidi w:val="0"/>
        <w:spacing w:before="0" w:after="0"/>
        <w:ind w:hanging="0" w:start="0" w:end="0"/>
        <w:contextualSpacing/>
        <w:jc w:val="center"/>
        <w:rPr/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5. Порядок и условия оплаты труда руководителя, главного бухгалтера, </w:t>
      </w:r>
    </w:p>
    <w:p>
      <w:pPr>
        <w:pStyle w:val="ListParagraph"/>
        <w:widowControl/>
        <w:numPr>
          <w:ilvl w:val="0"/>
          <w:numId w:val="0"/>
        </w:numPr>
        <w:suppressAutoHyphens w:val="true"/>
        <w:bidi w:val="0"/>
        <w:spacing w:before="0" w:after="0"/>
        <w:ind w:hanging="0" w:start="0" w:end="0"/>
        <w:contextualSpacing/>
        <w:jc w:val="center"/>
        <w:rPr/>
      </w:pPr>
      <w:r>
        <w:rPr>
          <w:rFonts w:cs="Times New Roman" w:ascii="Times New Roman" w:hAnsi="Times New Roman"/>
          <w:b/>
          <w:bCs/>
          <w:sz w:val="24"/>
          <w:szCs w:val="24"/>
        </w:rPr>
        <w:t>заместителей главного бухгалтера Муниципального казенного учреждения «Административно-хозяйственное управление Тугулымского муниципального округа Свердловской области»</w:t>
      </w:r>
    </w:p>
    <w:p>
      <w:pPr>
        <w:pStyle w:val="Normal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ListParagraph"/>
        <w:widowControl/>
        <w:suppressAutoHyphens w:val="true"/>
        <w:bidi w:val="0"/>
        <w:spacing w:before="0" w:after="0"/>
        <w:ind w:hanging="0" w:start="0" w:end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5.1. Заработная плата руководителя учреждения состоит из должностного оклада, выплат компенсационного и стимулирующего характера.</w:t>
      </w:r>
    </w:p>
    <w:p>
      <w:pPr>
        <w:pStyle w:val="ListParagraph"/>
        <w:numPr>
          <w:ilvl w:val="0"/>
          <w:numId w:val="0"/>
        </w:numPr>
        <w:ind w:hanging="0" w:star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ab/>
        <w:t>5.2. Размер должностного оклада руководителя учреждения определяется трудовым договором, заключенного с главой Тугулымского муниципального округа, устанавливается на соответствующий календарный год в зависимости от сложности труда в соответствии с соотношением заработной платы работников, которые относятся к основному персоналу учреждения, в кратности от 1 до 6.</w:t>
      </w:r>
    </w:p>
    <w:p>
      <w:pPr>
        <w:pStyle w:val="ListParagraph"/>
        <w:widowControl/>
        <w:numPr>
          <w:ilvl w:val="0"/>
          <w:numId w:val="0"/>
        </w:numPr>
        <w:suppressAutoHyphens w:val="true"/>
        <w:bidi w:val="0"/>
        <w:spacing w:before="0" w:after="0"/>
        <w:ind w:hanging="0" w:start="0" w:end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ab/>
        <w:t>5.3. С учетом масштаба управления и особенностей деятельности руководителю учреждения устанавливаются  выплаты стимулирующего и компенсационного характера, материальная помощь в следующих размерах:</w:t>
      </w:r>
    </w:p>
    <w:p>
      <w:pPr>
        <w:pStyle w:val="Normal"/>
        <w:widowControl/>
        <w:suppressAutoHyphens w:val="true"/>
        <w:bidi w:val="0"/>
        <w:spacing w:before="0" w:after="0"/>
        <w:ind w:hanging="0" w:start="0" w:end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- ежемесячная надбавка за интенсивность и напряженность труда – до 85 процентов от должностного оклада;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</w:t>
      </w:r>
      <w:r>
        <w:rPr>
          <w:rFonts w:cs="Times New Roman" w:ascii="Times New Roman" w:hAnsi="Times New Roman"/>
          <w:sz w:val="24"/>
          <w:szCs w:val="24"/>
        </w:rPr>
        <w:tab/>
        <w:t>- ежемесячная премия по результатам работы – до 70 процентов от должностного оклада;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- надбавка за выслугу лет в зависимости от стажа работы по обеспечению деятельности органов государственной власти и местного самоуправления в соответствии с подпунктом «б» пункта 4.1. настоящего Положения; 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-  материальная помощь – 2 должностных оклада; 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- за безупречную и эффективную работу руководителю учреждения могут применяться премии, которые выплачиваются в пределах фонда оплаты труда на основании распоряжения главы Тугулымского муниципального округа.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5.4. Порядок исчисления выплат компенсационного и стимулирующего характера устанавливается в соответствии с разделом  3  настоящего Положения.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5.5. Должность главного бухгалтера учреждения не входит в состав профессиональной квалификационной группы. Заработная плата главного бухгалтера учреждения состоит из должностного оклада и выплат компенсационного и стимулирующего характера.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5.6. Должностной оклад  главного бухгалтера устанавливается на 20 процентов ниже должностного оклада руководителя учреждения. Выплаты компенсационного и стимулирующего характера устанавливаются в соответствии с разделами 3 и 4 настоящего Положения.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5.7. Должность заместителя  главного бухгалтера учреждения не входит в состав профессиональной квалификационной группы. Заработная плата заместителя главного бухгалтера учреждения состоит из должностного оклада и выплат компенсационного и стимулирующего характера.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5.8. Должностной оклад  заместителя главного бухгалтера устанавливается на 10 процентов ниже должностного оклада главного бухгалтера. Выплаты компенсационного и стимулирующего характера устанавливаются в соответствии с разделами 3 и 4 настоящего Положения.</w:t>
      </w:r>
    </w:p>
    <w:p>
      <w:pPr>
        <w:pStyle w:val="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ind w:firstLine="709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 </w:t>
      </w:r>
    </w:p>
    <w:p>
      <w:pPr>
        <w:pStyle w:val="Normal"/>
        <w:ind w:firstLine="709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ind w:firstLine="709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ind w:firstLine="709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ind w:firstLine="709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 w:val="false"/>
          <w:bCs w:val="false"/>
          <w:sz w:val="24"/>
          <w:szCs w:val="24"/>
        </w:rPr>
        <w:t>Приложение № 1</w:t>
      </w:r>
    </w:p>
    <w:p>
      <w:pPr>
        <w:pStyle w:val="Normal"/>
        <w:jc w:val="end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к Положению об оплате труда </w:t>
      </w:r>
    </w:p>
    <w:p>
      <w:pPr>
        <w:pStyle w:val="Normal"/>
        <w:jc w:val="end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и материальном стимулировании работников </w:t>
      </w:r>
    </w:p>
    <w:p>
      <w:pPr>
        <w:pStyle w:val="Normal"/>
        <w:jc w:val="end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Муниципального казенного учреждения </w:t>
      </w:r>
    </w:p>
    <w:p>
      <w:pPr>
        <w:pStyle w:val="Normal"/>
        <w:jc w:val="end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«Административно-хозяйственное управление </w:t>
      </w:r>
    </w:p>
    <w:p>
      <w:pPr>
        <w:pStyle w:val="Normal"/>
        <w:jc w:val="end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Тугулымского муниципального округа </w:t>
      </w:r>
    </w:p>
    <w:p>
      <w:pPr>
        <w:pStyle w:val="Normal"/>
        <w:jc w:val="end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Свердловской области»</w:t>
      </w:r>
    </w:p>
    <w:p>
      <w:pPr>
        <w:pStyle w:val="Normal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start="0" w:end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start="0" w:end="0"/>
        <w:jc w:val="center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должностей работников Муниципального казённого учреждения 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start="0" w:end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«Административно-хозяйственное управление Тугулымского муниципального округа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Свердловской области</w:t>
      </w:r>
      <w:r>
        <w:rPr>
          <w:rFonts w:ascii="Times New Roman" w:hAnsi="Times New Roman"/>
          <w:sz w:val="24"/>
          <w:szCs w:val="24"/>
        </w:rPr>
        <w:t>», входящих в профессиональные квалификационные группы</w:t>
      </w:r>
    </w:p>
    <w:p>
      <w:pPr>
        <w:pStyle w:val="Normal"/>
        <w:spacing w:lineRule="atLeast" w:line="0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pStyle w:val="ListParagraph"/>
        <w:widowControl/>
        <w:suppressAutoHyphens w:val="true"/>
        <w:bidi w:val="0"/>
        <w:spacing w:lineRule="atLeast" w:line="0" w:before="0" w:after="0"/>
        <w:ind w:hanging="0" w:start="0" w:end="0"/>
        <w:contextualSpacing/>
        <w:jc w:val="both"/>
        <w:rPr/>
      </w:pPr>
      <w:r>
        <w:rPr/>
        <w:tab/>
      </w:r>
      <w:r>
        <w:rPr>
          <w:rFonts w:ascii="Times New Roman" w:hAnsi="Times New Roman"/>
          <w:sz w:val="24"/>
          <w:szCs w:val="24"/>
        </w:rPr>
        <w:t xml:space="preserve">1) Профессиональная квалификационная группа «Общеотраслевые профессии служащих второго  уровня» </w:t>
      </w:r>
    </w:p>
    <w:tbl>
      <w:tblPr>
        <w:tblStyle w:val="a5"/>
        <w:tblW w:w="9863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2262"/>
        <w:gridCol w:w="5563"/>
        <w:gridCol w:w="2038"/>
      </w:tblGrid>
      <w:tr>
        <w:trPr/>
        <w:tc>
          <w:tcPr>
            <w:tcW w:w="2262" w:type="dxa"/>
            <w:tcBorders/>
          </w:tcPr>
          <w:p>
            <w:pPr>
              <w:pStyle w:val="Normal"/>
              <w:widowControl/>
              <w:suppressAutoHyphens w:val="true"/>
              <w:spacing w:lineRule="atLeast" w:line="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Квалификационные уровни</w:t>
            </w:r>
          </w:p>
        </w:tc>
        <w:tc>
          <w:tcPr>
            <w:tcW w:w="5563" w:type="dxa"/>
            <w:tcBorders/>
          </w:tcPr>
          <w:p>
            <w:pPr>
              <w:pStyle w:val="Normal"/>
              <w:widowControl/>
              <w:suppressAutoHyphens w:val="true"/>
              <w:spacing w:lineRule="atLeast" w:line="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Наименование должностей</w:t>
            </w:r>
          </w:p>
        </w:tc>
        <w:tc>
          <w:tcPr>
            <w:tcW w:w="2038" w:type="dxa"/>
            <w:tcBorders/>
          </w:tcPr>
          <w:p>
            <w:pPr>
              <w:pStyle w:val="Normal"/>
              <w:widowControl/>
              <w:suppressAutoHyphens w:val="true"/>
              <w:spacing w:lineRule="atLeast" w:line="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Должностные оклады (руб.)</w:t>
            </w:r>
          </w:p>
        </w:tc>
      </w:tr>
      <w:tr>
        <w:trPr/>
        <w:tc>
          <w:tcPr>
            <w:tcW w:w="2262" w:type="dxa"/>
            <w:tcBorders/>
          </w:tcPr>
          <w:p>
            <w:pPr>
              <w:pStyle w:val="Normal"/>
              <w:widowControl/>
              <w:suppressAutoHyphens w:val="true"/>
              <w:spacing w:lineRule="atLeast" w:line="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5563" w:type="dxa"/>
            <w:tcBorders/>
          </w:tcPr>
          <w:p>
            <w:pPr>
              <w:pStyle w:val="Normal"/>
              <w:widowControl/>
              <w:suppressAutoHyphens w:val="true"/>
              <w:bidi w:val="0"/>
              <w:spacing w:lineRule="atLeast" w:line="0" w:before="0" w:after="0"/>
              <w:ind w:hanging="0" w:start="-1304" w:end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           </w:t>
            </w: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диспетчер</w:t>
            </w:r>
          </w:p>
        </w:tc>
        <w:tc>
          <w:tcPr>
            <w:tcW w:w="2038" w:type="dxa"/>
            <w:tcBorders/>
          </w:tcPr>
          <w:p>
            <w:pPr>
              <w:pStyle w:val="Normal"/>
              <w:widowControl/>
              <w:suppressAutoHyphens w:val="true"/>
              <w:spacing w:lineRule="atLeast" w:line="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9 619</w:t>
            </w:r>
          </w:p>
        </w:tc>
      </w:tr>
    </w:tbl>
    <w:p>
      <w:pPr>
        <w:pStyle w:val="Normal"/>
        <w:spacing w:lineRule="exact" w:line="170" w:before="0" w:after="0"/>
        <w:ind w:hanging="0" w:start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lineRule="atLeast" w:line="0" w:before="0" w:after="0"/>
        <w:ind w:hanging="0" w:start="0" w:end="0"/>
        <w:contextualSpacing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2) Профессиональная квалификационная группа «Общеотраслевые профессии служащих третьего   уровня» </w:t>
      </w:r>
    </w:p>
    <w:tbl>
      <w:tblPr>
        <w:tblStyle w:val="a5"/>
        <w:tblW w:w="9863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2262"/>
        <w:gridCol w:w="5563"/>
        <w:gridCol w:w="2038"/>
      </w:tblGrid>
      <w:tr>
        <w:trPr/>
        <w:tc>
          <w:tcPr>
            <w:tcW w:w="226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Квалификационные уровни</w:t>
            </w:r>
          </w:p>
        </w:tc>
        <w:tc>
          <w:tcPr>
            <w:tcW w:w="55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Наименование должностей</w:t>
            </w:r>
          </w:p>
        </w:tc>
        <w:tc>
          <w:tcPr>
            <w:tcW w:w="20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Должностные оклады (руб.)</w:t>
            </w:r>
          </w:p>
        </w:tc>
      </w:tr>
      <w:tr>
        <w:trPr/>
        <w:tc>
          <w:tcPr>
            <w:tcW w:w="226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5563" w:type="dxa"/>
            <w:tcBorders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firstLine="680" w:start="0" w:end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должности служащих первого квалификационного уровня, по которым может устанавливаться производное должностное наименование «ведущий»: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start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          </w:t>
            </w: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ведущий бухгалтер;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start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          </w:t>
            </w: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ведущий программист;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start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          </w:t>
            </w: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ведущий юрисконсульт;</w:t>
            </w:r>
          </w:p>
        </w:tc>
        <w:tc>
          <w:tcPr>
            <w:tcW w:w="20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13 924</w:t>
            </w:r>
          </w:p>
        </w:tc>
      </w:tr>
      <w:tr>
        <w:trPr>
          <w:trHeight w:val="333" w:hRule="atLeast"/>
        </w:trPr>
        <w:tc>
          <w:tcPr>
            <w:tcW w:w="226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55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start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          </w:t>
            </w: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главный специалист</w:t>
            </w:r>
          </w:p>
        </w:tc>
        <w:tc>
          <w:tcPr>
            <w:tcW w:w="20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15 493</w:t>
            </w:r>
          </w:p>
        </w:tc>
      </w:tr>
    </w:tbl>
    <w:p>
      <w:pPr>
        <w:pStyle w:val="Normal"/>
        <w:spacing w:lineRule="auto" w:line="240"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start="0" w:end="0"/>
        <w:contextualSpacing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3) Профессиональная квалификационная группа «Общеотраслевые профессии служащих четвертого   уровня» </w:t>
      </w:r>
    </w:p>
    <w:tbl>
      <w:tblPr>
        <w:tblStyle w:val="a5"/>
        <w:tblW w:w="9863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2262"/>
        <w:gridCol w:w="5612"/>
        <w:gridCol w:w="1989"/>
      </w:tblGrid>
      <w:tr>
        <w:trPr/>
        <w:tc>
          <w:tcPr>
            <w:tcW w:w="226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Квалификационные уровни</w:t>
            </w:r>
          </w:p>
        </w:tc>
        <w:tc>
          <w:tcPr>
            <w:tcW w:w="561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Наименование должностей</w:t>
            </w:r>
          </w:p>
        </w:tc>
        <w:tc>
          <w:tcPr>
            <w:tcW w:w="198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Должностные оклады (руб.)</w:t>
            </w:r>
          </w:p>
        </w:tc>
      </w:tr>
      <w:tr>
        <w:trPr/>
        <w:tc>
          <w:tcPr>
            <w:tcW w:w="226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5612" w:type="dxa"/>
            <w:tcBorders/>
          </w:tcPr>
          <w:p>
            <w:pPr>
              <w:pStyle w:val="Normal"/>
              <w:widowControl/>
              <w:suppressAutoHyphens w:val="true"/>
              <w:bidi w:val="0"/>
              <w:spacing w:before="0" w:after="0"/>
              <w:ind w:firstLine="624" w:start="0" w:end="0"/>
              <w:contextualSpacing/>
              <w:jc w:val="start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начальник хозяйственно-эксплуатационного отдела;</w:t>
            </w:r>
          </w:p>
          <w:p>
            <w:pPr>
              <w:pStyle w:val="Normal"/>
              <w:widowControl/>
              <w:suppressAutoHyphens w:val="true"/>
              <w:bidi w:val="0"/>
              <w:spacing w:before="0" w:after="0"/>
              <w:ind w:firstLine="624" w:start="0" w:end="0"/>
              <w:contextualSpacing/>
              <w:jc w:val="start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 </w:t>
            </w: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начальник отдела субсидий и компенсаций;</w:t>
            </w:r>
          </w:p>
          <w:p>
            <w:pPr>
              <w:pStyle w:val="Normal"/>
              <w:widowControl/>
              <w:suppressAutoHyphens w:val="true"/>
              <w:bidi w:val="0"/>
              <w:spacing w:before="0" w:after="0"/>
              <w:ind w:firstLine="624" w:start="0" w:end="0"/>
              <w:contextualSpacing/>
              <w:jc w:val="start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 </w:t>
            </w: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начальник транспортного отдела;</w:t>
            </w:r>
          </w:p>
          <w:p>
            <w:pPr>
              <w:pStyle w:val="Normal"/>
              <w:widowControl/>
              <w:suppressAutoHyphens w:val="true"/>
              <w:bidi w:val="0"/>
              <w:spacing w:before="0" w:after="0"/>
              <w:ind w:firstLine="624" w:start="0" w:end="0"/>
              <w:contextualSpacing/>
              <w:jc w:val="star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 </w:t>
            </w: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начальник отдела контрактования и закупок;</w:t>
            </w:r>
          </w:p>
          <w:p>
            <w:pPr>
              <w:pStyle w:val="Normal"/>
              <w:widowControl/>
              <w:suppressAutoHyphens w:val="true"/>
              <w:bidi w:val="0"/>
              <w:spacing w:before="0" w:after="0"/>
              <w:ind w:firstLine="624" w:start="0" w:end="0"/>
              <w:contextualSpacing/>
              <w:jc w:val="start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 </w:t>
            </w: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начальник отдела кадров</w:t>
            </w:r>
          </w:p>
          <w:p>
            <w:pPr>
              <w:pStyle w:val="Normal"/>
              <w:widowControl/>
              <w:suppressAutoHyphens w:val="true"/>
              <w:bidi w:val="0"/>
              <w:spacing w:before="0" w:after="0"/>
              <w:ind w:firstLine="624" w:start="0" w:end="0"/>
              <w:contextualSpacing/>
              <w:jc w:val="start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 </w:t>
            </w: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начальник отдела информационных технологий</w:t>
            </w:r>
          </w:p>
        </w:tc>
        <w:tc>
          <w:tcPr>
            <w:tcW w:w="198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17 060</w:t>
            </w:r>
          </w:p>
        </w:tc>
      </w:tr>
    </w:tbl>
    <w:p>
      <w:pPr>
        <w:pStyle w:val="Normal"/>
        <w:spacing w:before="0"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0"/>
        <w:ind w:hanging="0" w:start="0"/>
        <w:contextualSpacing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4) Профессиональная квалификационная группа «Общеотраслевые профессии  рабочих первого    уровня» </w:t>
      </w:r>
    </w:p>
    <w:tbl>
      <w:tblPr>
        <w:tblStyle w:val="a5"/>
        <w:tblW w:w="9863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2262"/>
        <w:gridCol w:w="5563"/>
        <w:gridCol w:w="2038"/>
      </w:tblGrid>
      <w:tr>
        <w:trPr/>
        <w:tc>
          <w:tcPr>
            <w:tcW w:w="226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Квалификационные уровни</w:t>
            </w:r>
          </w:p>
        </w:tc>
        <w:tc>
          <w:tcPr>
            <w:tcW w:w="556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Наименование должностей</w:t>
            </w:r>
          </w:p>
        </w:tc>
        <w:tc>
          <w:tcPr>
            <w:tcW w:w="203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Должностные оклады (руб.)</w:t>
            </w:r>
          </w:p>
        </w:tc>
      </w:tr>
      <w:tr>
        <w:trPr/>
        <w:tc>
          <w:tcPr>
            <w:tcW w:w="226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5563" w:type="dxa"/>
            <w:tcBorders/>
          </w:tcPr>
          <w:p>
            <w:pPr>
              <w:pStyle w:val="Normal"/>
              <w:widowControl/>
              <w:suppressAutoHyphens w:val="true"/>
              <w:bidi w:val="0"/>
              <w:spacing w:before="0" w:after="0"/>
              <w:ind w:firstLine="567" w:start="57" w:end="0"/>
              <w:contextualSpacing/>
              <w:jc w:val="start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уборщица служебных помещений</w:t>
            </w:r>
          </w:p>
          <w:p>
            <w:pPr>
              <w:pStyle w:val="Normal"/>
              <w:widowControl/>
              <w:suppressAutoHyphens w:val="true"/>
              <w:bidi w:val="0"/>
              <w:spacing w:before="0" w:after="0"/>
              <w:ind w:firstLine="567" w:start="57" w:end="0"/>
              <w:contextualSpacing/>
              <w:jc w:val="start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электрик</w:t>
            </w:r>
          </w:p>
          <w:p>
            <w:pPr>
              <w:pStyle w:val="Normal"/>
              <w:widowControl/>
              <w:suppressAutoHyphens w:val="true"/>
              <w:bidi w:val="0"/>
              <w:spacing w:before="0" w:after="0"/>
              <w:ind w:firstLine="567" w:start="57" w:end="0"/>
              <w:contextualSpacing/>
              <w:jc w:val="start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дворник</w:t>
            </w:r>
          </w:p>
          <w:p>
            <w:pPr>
              <w:pStyle w:val="Normal"/>
              <w:widowControl/>
              <w:suppressAutoHyphens w:val="true"/>
              <w:bidi w:val="0"/>
              <w:spacing w:before="0" w:after="0"/>
              <w:ind w:firstLine="567" w:start="57" w:end="0"/>
              <w:contextualSpacing/>
              <w:jc w:val="start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сторож-вахтер</w:t>
            </w:r>
          </w:p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start="0" w:end="0"/>
              <w:contextualSpacing/>
              <w:jc w:val="start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           </w:t>
            </w: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вахтер</w:t>
            </w:r>
          </w:p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start="737" w:end="0"/>
              <w:contextualSpacing/>
              <w:jc w:val="start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рабочий по обслуживанию здания</w:t>
            </w:r>
          </w:p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start="737" w:end="0"/>
              <w:contextualSpacing/>
              <w:jc w:val="start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истопник</w:t>
            </w:r>
          </w:p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start="737" w:end="0"/>
              <w:contextualSpacing/>
              <w:jc w:val="start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гардеробщик</w:t>
            </w:r>
          </w:p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start="737" w:end="0"/>
              <w:contextualSpacing/>
              <w:jc w:val="start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смотритель кладбища</w:t>
            </w:r>
          </w:p>
        </w:tc>
        <w:tc>
          <w:tcPr>
            <w:tcW w:w="203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    </w:t>
            </w: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9 619</w:t>
            </w:r>
          </w:p>
        </w:tc>
      </w:tr>
    </w:tbl>
    <w:p>
      <w:pPr>
        <w:pStyle w:val="Normal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0"/>
        <w:ind w:hanging="0" w:start="0"/>
        <w:contextualSpacing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5) Профессиональная квалификационная группа «Общеотраслевые профессии  рабочих второго    уровня» </w:t>
      </w:r>
    </w:p>
    <w:tbl>
      <w:tblPr>
        <w:tblStyle w:val="a5"/>
        <w:tblW w:w="9863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2262"/>
        <w:gridCol w:w="5612"/>
        <w:gridCol w:w="1989"/>
      </w:tblGrid>
      <w:tr>
        <w:trPr/>
        <w:tc>
          <w:tcPr>
            <w:tcW w:w="226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Квалификационные уровни</w:t>
            </w:r>
          </w:p>
        </w:tc>
        <w:tc>
          <w:tcPr>
            <w:tcW w:w="561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Наименование должностей</w:t>
            </w:r>
          </w:p>
        </w:tc>
        <w:tc>
          <w:tcPr>
            <w:tcW w:w="198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Должностные оклады (руб.)</w:t>
            </w:r>
          </w:p>
        </w:tc>
      </w:tr>
      <w:tr>
        <w:trPr/>
        <w:tc>
          <w:tcPr>
            <w:tcW w:w="226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561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start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водитель автобуса</w:t>
            </w:r>
          </w:p>
        </w:tc>
        <w:tc>
          <w:tcPr>
            <w:tcW w:w="198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13 303</w:t>
            </w:r>
          </w:p>
        </w:tc>
      </w:tr>
      <w:tr>
        <w:trPr/>
        <w:tc>
          <w:tcPr>
            <w:tcW w:w="226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561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start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водитель легкового автомобиля</w:t>
            </w:r>
          </w:p>
        </w:tc>
        <w:tc>
          <w:tcPr>
            <w:tcW w:w="198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13 303</w:t>
            </w:r>
          </w:p>
        </w:tc>
      </w:tr>
      <w:tr>
        <w:trPr/>
        <w:tc>
          <w:tcPr>
            <w:tcW w:w="226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561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start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водитель грузового автомобиля</w:t>
            </w:r>
          </w:p>
        </w:tc>
        <w:tc>
          <w:tcPr>
            <w:tcW w:w="198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13 303</w:t>
            </w:r>
          </w:p>
        </w:tc>
      </w:tr>
    </w:tbl>
    <w:p>
      <w:pPr>
        <w:pStyle w:val="Normal"/>
        <w:ind w:firstLine="709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</w:t>
      </w:r>
    </w:p>
    <w:p>
      <w:pPr>
        <w:pStyle w:val="Norma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</w:t>
      </w:r>
    </w:p>
    <w:p>
      <w:pPr>
        <w:pStyle w:val="Norma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709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 w:val="false"/>
          <w:bCs w:val="false"/>
          <w:sz w:val="24"/>
          <w:szCs w:val="24"/>
        </w:rPr>
        <w:t>Приложение № 2</w:t>
      </w:r>
    </w:p>
    <w:p>
      <w:pPr>
        <w:pStyle w:val="Normal"/>
        <w:jc w:val="end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к Положению об оплате труда </w:t>
      </w:r>
    </w:p>
    <w:p>
      <w:pPr>
        <w:pStyle w:val="Normal"/>
        <w:jc w:val="end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и материальном стимулировании работников </w:t>
      </w:r>
    </w:p>
    <w:p>
      <w:pPr>
        <w:pStyle w:val="Normal"/>
        <w:jc w:val="end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Муниципального казенного учреждения </w:t>
      </w:r>
    </w:p>
    <w:p>
      <w:pPr>
        <w:pStyle w:val="Normal"/>
        <w:jc w:val="end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«Административно-хозяйственное управление </w:t>
      </w:r>
    </w:p>
    <w:p>
      <w:pPr>
        <w:pStyle w:val="Normal"/>
        <w:jc w:val="end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Тугулымского муниципального округа </w:t>
      </w:r>
    </w:p>
    <w:p>
      <w:pPr>
        <w:pStyle w:val="Normal"/>
        <w:jc w:val="end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Свердловской области»</w:t>
      </w:r>
    </w:p>
    <w:p>
      <w:pPr>
        <w:pStyle w:val="Norma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</w:t>
      </w:r>
    </w:p>
    <w:p>
      <w:pPr>
        <w:pStyle w:val="Norma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before="0" w:after="0"/>
        <w:ind w:hanging="0" w:start="0" w:end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</w:t>
      </w:r>
    </w:p>
    <w:p>
      <w:pPr>
        <w:pStyle w:val="Normal"/>
        <w:widowControl/>
        <w:suppressAutoHyphens w:val="true"/>
        <w:bidi w:val="0"/>
        <w:spacing w:before="0" w:after="0"/>
        <w:ind w:hanging="0" w:start="0" w:end="0"/>
        <w:jc w:val="center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должностей работников Муниципального казенного учреждения </w:t>
      </w:r>
    </w:p>
    <w:p>
      <w:pPr>
        <w:pStyle w:val="Normal"/>
        <w:widowControl/>
        <w:suppressAutoHyphens w:val="true"/>
        <w:bidi w:val="0"/>
        <w:spacing w:before="0" w:after="0"/>
        <w:ind w:hanging="0" w:start="0" w:end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«Административно-хозяйственное управление Тугулымского муниципального округа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Свердловской области</w:t>
      </w:r>
      <w:r>
        <w:rPr>
          <w:rFonts w:ascii="Times New Roman" w:hAnsi="Times New Roman"/>
          <w:sz w:val="24"/>
          <w:szCs w:val="24"/>
        </w:rPr>
        <w:t>», не входящих в профессиональные квалификационные группы</w:t>
      </w:r>
    </w:p>
    <w:p>
      <w:pPr>
        <w:pStyle w:val="ListParagraph"/>
        <w:ind w:start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5"/>
        <w:tblW w:w="9863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7487"/>
        <w:gridCol w:w="2376"/>
      </w:tblGrid>
      <w:tr>
        <w:trPr>
          <w:trHeight w:val="647" w:hRule="atLeast"/>
        </w:trPr>
        <w:tc>
          <w:tcPr>
            <w:tcW w:w="7487" w:type="dxa"/>
            <w:tcBorders/>
          </w:tcPr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start="-113" w:end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Наименование должностей</w:t>
            </w:r>
          </w:p>
        </w:tc>
        <w:tc>
          <w:tcPr>
            <w:tcW w:w="2376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Должностные оклады (руб.)</w:t>
            </w:r>
          </w:p>
        </w:tc>
      </w:tr>
      <w:tr>
        <w:trPr>
          <w:trHeight w:val="243" w:hRule="atLeast"/>
        </w:trPr>
        <w:tc>
          <w:tcPr>
            <w:tcW w:w="7487" w:type="dxa"/>
            <w:tcBorders/>
          </w:tcPr>
          <w:p>
            <w:pPr>
              <w:pStyle w:val="Normal"/>
              <w:widowControl/>
              <w:suppressAutoHyphens w:val="true"/>
              <w:bidi w:val="0"/>
              <w:spacing w:before="0" w:after="0"/>
              <w:ind w:firstLine="850" w:start="-113" w:end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  специалист по безопасности дорожного движения</w:t>
            </w:r>
          </w:p>
        </w:tc>
        <w:tc>
          <w:tcPr>
            <w:tcW w:w="2376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13 303</w:t>
            </w:r>
          </w:p>
        </w:tc>
      </w:tr>
      <w:tr>
        <w:trPr>
          <w:trHeight w:val="339" w:hRule="atLeast"/>
        </w:trPr>
        <w:tc>
          <w:tcPr>
            <w:tcW w:w="7487" w:type="dxa"/>
            <w:tcBorders/>
          </w:tcPr>
          <w:p>
            <w:pPr>
              <w:pStyle w:val="Normal"/>
              <w:widowControl/>
              <w:suppressAutoHyphens w:val="true"/>
              <w:bidi w:val="0"/>
              <w:spacing w:before="0" w:after="0"/>
              <w:ind w:firstLine="850" w:start="-113" w:end="0"/>
              <w:contextualSpacing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  ведущий специалист по экологии;</w:t>
            </w:r>
          </w:p>
          <w:p>
            <w:pPr>
              <w:pStyle w:val="Normal"/>
              <w:widowControl/>
              <w:suppressAutoHyphens w:val="true"/>
              <w:bidi w:val="0"/>
              <w:spacing w:before="0" w:after="0"/>
              <w:ind w:firstLine="794" w:start="-57" w:end="0"/>
              <w:contextualSpacing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ведущий специалист по охране труда и пожарной безопасности;</w:t>
            </w:r>
          </w:p>
          <w:p>
            <w:pPr>
              <w:pStyle w:val="Normal"/>
              <w:widowControl/>
              <w:suppressAutoHyphens w:val="true"/>
              <w:bidi w:val="0"/>
              <w:spacing w:before="0" w:after="0"/>
              <w:ind w:firstLine="850" w:start="-113" w:end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  ведущий специалист по противопожарной профилактике;</w:t>
            </w:r>
          </w:p>
          <w:p>
            <w:pPr>
              <w:pStyle w:val="Normal"/>
              <w:widowControl/>
              <w:suppressAutoHyphens w:val="true"/>
              <w:bidi w:val="0"/>
              <w:spacing w:before="0" w:after="0"/>
              <w:ind w:firstLine="850" w:start="-113" w:end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  ведущий специалист в сфере закупок;</w:t>
            </w:r>
          </w:p>
          <w:p>
            <w:pPr>
              <w:pStyle w:val="Normal"/>
              <w:widowControl/>
              <w:suppressAutoHyphens w:val="true"/>
              <w:bidi w:val="0"/>
              <w:spacing w:before="0" w:after="0"/>
              <w:ind w:firstLine="850" w:start="-113" w:end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  ведущий инженер-сметчик;</w:t>
            </w:r>
          </w:p>
          <w:p>
            <w:pPr>
              <w:pStyle w:val="Normal"/>
              <w:widowControl/>
              <w:suppressAutoHyphens w:val="true"/>
              <w:bidi w:val="0"/>
              <w:spacing w:before="0" w:after="0"/>
              <w:ind w:firstLine="850" w:start="-113" w:end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  ведущий специалист по кадрам;</w:t>
            </w:r>
          </w:p>
          <w:p>
            <w:pPr>
              <w:pStyle w:val="Normal"/>
              <w:widowControl/>
              <w:suppressAutoHyphens w:val="true"/>
              <w:bidi w:val="0"/>
              <w:spacing w:before="0" w:after="0"/>
              <w:ind w:firstLine="850" w:start="-113" w:end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  ведущий специалист;</w:t>
            </w:r>
          </w:p>
          <w:p>
            <w:pPr>
              <w:pStyle w:val="Normal"/>
              <w:widowControl/>
              <w:suppressAutoHyphens w:val="true"/>
              <w:bidi w:val="0"/>
              <w:spacing w:before="0" w:after="0"/>
              <w:ind w:firstLine="850" w:start="-113" w:end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  ведущий специалист по субсидиям</w:t>
            </w:r>
          </w:p>
        </w:tc>
        <w:tc>
          <w:tcPr>
            <w:tcW w:w="2376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13 924</w:t>
            </w:r>
          </w:p>
        </w:tc>
      </w:tr>
    </w:tbl>
    <w:p>
      <w:pPr>
        <w:pStyle w:val="ListParagraph"/>
        <w:ind w:start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star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start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                              </w:t>
      </w:r>
    </w:p>
    <w:p>
      <w:pPr>
        <w:pStyle w:val="Normal"/>
        <w:jc w:val="star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star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star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sectPr>
      <w:type w:val="nextPage"/>
      <w:pgSz w:w="11906" w:h="16838"/>
      <w:pgMar w:left="1304" w:right="737" w:gutter="0" w:header="0" w:top="850" w:footer="0" w:bottom="85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Courier New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  <w:font w:name="Liberation Mono">
    <w:altName w:val="Courier New"/>
    <w:charset w:val="01" w:characterSet="utf-8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start"/>
      <w:pPr>
        <w:tabs>
          <w:tab w:val="num" w:pos="0"/>
        </w:tabs>
        <w:ind w:start="644" w:hanging="360"/>
      </w:pPr>
      <w:rPr>
        <w:rFonts w:eastAsia="Calibri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67241"/>
    <w:pPr>
      <w:widowControl/>
      <w:suppressAutoHyphens w:val="true"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TML" w:customStyle="1">
    <w:name w:val="Стандартный HTML Знак"/>
    <w:basedOn w:val="DefaultParagraphFont"/>
    <w:link w:val="HTMLPreformatted"/>
    <w:uiPriority w:val="99"/>
    <w:semiHidden/>
    <w:qFormat/>
    <w:rsid w:val="000e480f"/>
    <w:rPr>
      <w:rFonts w:ascii="Courier New" w:hAnsi="Courier New" w:eastAsia="Times New Roman" w:cs="Courier New"/>
      <w:sz w:val="20"/>
      <w:szCs w:val="20"/>
      <w:lang w:eastAsia="ru-RU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HTMLPreformatted">
    <w:name w:val="HTML Preformatted"/>
    <w:basedOn w:val="Normal"/>
    <w:link w:val="HTML"/>
    <w:uiPriority w:val="99"/>
    <w:semiHidden/>
    <w:unhideWhenUsed/>
    <w:qFormat/>
    <w:rsid w:val="000e480f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jc w:val="start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NormalWeb">
    <w:name w:val="Normal (Web)"/>
    <w:basedOn w:val="Normal"/>
    <w:uiPriority w:val="99"/>
    <w:semiHidden/>
    <w:unhideWhenUsed/>
    <w:qFormat/>
    <w:rsid w:val="000e480f"/>
    <w:pPr>
      <w:spacing w:lineRule="auto" w:line="276" w:beforeAutospacing="1" w:after="142"/>
      <w:jc w:val="star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0235c3"/>
    <w:pPr>
      <w:spacing w:before="0" w:after="0"/>
      <w:ind w:start="720"/>
      <w:contextualSpacing/>
    </w:pPr>
    <w:rPr/>
  </w:style>
  <w:style w:type="paragraph" w:styleId="user2">
    <w:name w:val="Содержимое таблицы (user)"/>
    <w:basedOn w:val="Normal"/>
    <w:qFormat/>
    <w:pPr>
      <w:widowControl w:val="false"/>
      <w:suppressLineNumbers/>
    </w:pPr>
    <w:rPr/>
  </w:style>
  <w:style w:type="paragraph" w:styleId="user3">
    <w:name w:val="Заголовок таблицы (user)"/>
    <w:basedOn w:val="user2"/>
    <w:qFormat/>
    <w:pPr>
      <w:suppressLineNumbers/>
      <w:jc w:val="center"/>
    </w:pPr>
    <w:rPr>
      <w:b/>
      <w:bCs/>
    </w:rPr>
  </w:style>
  <w:style w:type="numbering" w:styleId="Style16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861018"/>
    <w:pPr>
      <w:jc w:val="left"/>
    </w:pPr>
    <w:rPr>
      <w:rFonts w:eastAsiaTheme="minorEastAsia"/>
      <w:lang w:eastAsia="ru-RU"/>
      <w:sz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Application>LibreOffice/25.8.1.1$Linux_X86_64 LibreOffice_project/54047653041915e595ad4e45cccea684809c77b5</Application>
  <AppVersion>15.0000</AppVersion>
  <Pages>10</Pages>
  <Words>3044</Words>
  <Characters>21750</Characters>
  <CharactersWithSpaces>26120</CharactersWithSpaces>
  <Paragraphs>233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2025-10-23T04:06:00Z</dcterms:created>
  <dc:creator>MKUAX</dc:creator>
  <dc:description/>
  <dc:language>ru-RU</dc:language>
  <cp:lastModifiedBy/>
  <cp:lastPrinted>2025-10-29T15:06:52Z</cp:lastPrinted>
  <dcterms:modified xsi:type="dcterms:W3CDTF">2025-10-29T16:32:10Z</dcterms:modified>
  <cp:revision>38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